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92" w:rsidRDefault="002C5492" w:rsidP="006F177F">
      <w:pPr>
        <w:tabs>
          <w:tab w:val="left" w:pos="14175"/>
        </w:tabs>
      </w:pPr>
      <w:r>
        <w:rPr>
          <w:noProof/>
          <w:lang w:eastAsia="ru-RU"/>
        </w:rPr>
        <w:drawing>
          <wp:inline distT="0" distB="0" distL="0" distR="0" wp14:anchorId="09D8E7EC" wp14:editId="1777A926">
            <wp:extent cx="9753600" cy="68770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74A1" w:rsidRPr="00A548C2" w:rsidRDefault="00C94FBE" w:rsidP="006F177F">
      <w:pPr>
        <w:tabs>
          <w:tab w:val="left" w:pos="14175"/>
        </w:tabs>
      </w:pPr>
      <w:bookmarkStart w:id="0" w:name="_GoBack"/>
      <w:r w:rsidRPr="00C94FBE">
        <w:rPr>
          <w:noProof/>
          <w:lang w:eastAsia="ru-RU"/>
        </w:rPr>
        <w:lastRenderedPageBreak/>
        <w:drawing>
          <wp:inline distT="0" distB="0" distL="0" distR="0" wp14:anchorId="2B781AB2" wp14:editId="39A4F50F">
            <wp:extent cx="9258300" cy="6838950"/>
            <wp:effectExtent l="0" t="0" r="19050" b="1905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sectPr w:rsidR="00BD74A1" w:rsidRPr="00A548C2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CFD" w:rsidRDefault="00F62CFD" w:rsidP="00D04C2E">
      <w:pPr>
        <w:spacing w:after="0" w:line="240" w:lineRule="auto"/>
      </w:pPr>
      <w:r>
        <w:separator/>
      </w:r>
    </w:p>
  </w:endnote>
  <w:endnote w:type="continuationSeparator" w:id="0">
    <w:p w:rsidR="00F62CFD" w:rsidRDefault="00F62CFD" w:rsidP="00D0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CFD" w:rsidRDefault="00F62CFD" w:rsidP="00D04C2E">
      <w:pPr>
        <w:spacing w:after="0" w:line="240" w:lineRule="auto"/>
      </w:pPr>
      <w:r>
        <w:separator/>
      </w:r>
    </w:p>
  </w:footnote>
  <w:footnote w:type="continuationSeparator" w:id="0">
    <w:p w:rsidR="00F62CFD" w:rsidRDefault="00F62CFD" w:rsidP="00D04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56496"/>
    <w:rsid w:val="00057868"/>
    <w:rsid w:val="000C65FC"/>
    <w:rsid w:val="000D13B6"/>
    <w:rsid w:val="000E4F1C"/>
    <w:rsid w:val="00190681"/>
    <w:rsid w:val="001D688D"/>
    <w:rsid w:val="00223165"/>
    <w:rsid w:val="002850AC"/>
    <w:rsid w:val="002A17CE"/>
    <w:rsid w:val="002C5492"/>
    <w:rsid w:val="003340AA"/>
    <w:rsid w:val="00353BBF"/>
    <w:rsid w:val="00366D77"/>
    <w:rsid w:val="00377E4C"/>
    <w:rsid w:val="003A001A"/>
    <w:rsid w:val="004D5AE2"/>
    <w:rsid w:val="00570A98"/>
    <w:rsid w:val="00627418"/>
    <w:rsid w:val="0069532B"/>
    <w:rsid w:val="006F177F"/>
    <w:rsid w:val="006F4D81"/>
    <w:rsid w:val="00703829"/>
    <w:rsid w:val="00707783"/>
    <w:rsid w:val="00723F40"/>
    <w:rsid w:val="007505E6"/>
    <w:rsid w:val="00805B5C"/>
    <w:rsid w:val="00850972"/>
    <w:rsid w:val="00864DF2"/>
    <w:rsid w:val="00903F45"/>
    <w:rsid w:val="009257F3"/>
    <w:rsid w:val="009E5FEA"/>
    <w:rsid w:val="00A2430A"/>
    <w:rsid w:val="00A548C2"/>
    <w:rsid w:val="00AA437B"/>
    <w:rsid w:val="00B3296F"/>
    <w:rsid w:val="00B470E4"/>
    <w:rsid w:val="00BD74A1"/>
    <w:rsid w:val="00C23028"/>
    <w:rsid w:val="00C4100A"/>
    <w:rsid w:val="00C93543"/>
    <w:rsid w:val="00C94FBE"/>
    <w:rsid w:val="00CA066E"/>
    <w:rsid w:val="00CA13E1"/>
    <w:rsid w:val="00CF631F"/>
    <w:rsid w:val="00D04C2E"/>
    <w:rsid w:val="00D502A3"/>
    <w:rsid w:val="00D81088"/>
    <w:rsid w:val="00DE066A"/>
    <w:rsid w:val="00E6725F"/>
    <w:rsid w:val="00EC3F73"/>
    <w:rsid w:val="00F32327"/>
    <w:rsid w:val="00F62CFD"/>
    <w:rsid w:val="00F80EBA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3700-01-795\&#1053;&#1072;&#1089;&#1090;&#1103;\&#1055;&#1091;&#1073;&#1083;&#1080;&#1082;&#1072;&#1094;&#1080;&#1080;%20&#1085;&#1072;%20&#1089;&#1072;&#1081;&#1090;\2019\&#1053;&#1086;&#1103;&#1073;&#1088;&#1100;\&#1086;&#1073;&#1088;&#1072;&#1097;&#1077;&#1085;&#1080;&#1103;%203%20&#1082;&#1074;_301019\&#1044;&#1080;&#1072;&#1075;&#1088;&#1072;&#1084;&#1084;&#1072;%202%20&#1074;%20Microsoft%20Word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 b="1" i="1" baseline="0">
                <a:effectLst/>
              </a:rPr>
              <a:t>Количество личных обращений, рассмотренных в структурных подразделениях УФНС России по Ивановской области в 1 квартале 2020 года</a:t>
            </a:r>
            <a:endParaRPr lang="ru-RU" sz="1600">
              <a:effectLst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020833333333334"/>
          <c:y val="0.24572483841181902"/>
          <c:w val="0.76041666666666663"/>
          <c:h val="0.4562584247606168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личных обращений, рассмотренных в структурных подразделениях УФНС России по Ивановской области
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7.2217335137795269E-2"/>
                  <c:y val="-1.805265339062533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2.0481360728346554E-2"/>
                  <c:y val="-0.1382031539686348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667546341863517"/>
                  <c:y val="-7.400266102471263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6.1436700295275593E-2"/>
                  <c:y val="3.702256054558276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3.8771735564304473E-2"/>
                  <c:y val="1.42532044990221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1.4853695045931758E-2"/>
                  <c:y val="6.765851636966431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0.10502306840551182"/>
                  <c:y val="-1.9240808195374469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3.3410535597112864E-2"/>
                  <c:y val="-3.214895921943274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0.23147360974409448"/>
                  <c:y val="-2.979664245570411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100" b="1" i="1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Отдел налогообложения имущества </c:v>
                </c:pt>
                <c:pt idx="1">
                  <c:v>Отдел налогообложения доходов физических лиц и администрирования страховых взносов</c:v>
                </c:pt>
                <c:pt idx="2">
                  <c:v>Отдел урегулирования задолженности</c:v>
                </c:pt>
                <c:pt idx="3">
                  <c:v>Руководство</c:v>
                </c:pt>
                <c:pt idx="4">
                  <c:v>Контрольный отдел</c:v>
                </c:pt>
                <c:pt idx="5">
                  <c:v>Отдел работы с налогоплательщиками</c:v>
                </c:pt>
                <c:pt idx="6">
                  <c:v>Отдел регистрации и учета налогоплательщиков</c:v>
                </c:pt>
                <c:pt idx="7">
                  <c:v>Отдел досудебного урегулирования налоговых споров</c:v>
                </c:pt>
                <c:pt idx="8">
                  <c:v>Отдел налогообложения юридических лиц и камерального контроля</c:v>
                </c:pt>
              </c:strCache>
            </c:strRef>
          </c:cat>
          <c:val>
            <c:numRef>
              <c:f>Лист1!$B$2:$B$10</c:f>
              <c:numCache>
                <c:formatCode>0.0</c:formatCode>
                <c:ptCount val="9"/>
                <c:pt idx="0">
                  <c:v>23.1</c:v>
                </c:pt>
                <c:pt idx="1">
                  <c:v>15.4</c:v>
                </c:pt>
                <c:pt idx="2">
                  <c:v>17.100000000000001</c:v>
                </c:pt>
                <c:pt idx="3">
                  <c:v>6</c:v>
                </c:pt>
                <c:pt idx="4">
                  <c:v>3.4</c:v>
                </c:pt>
                <c:pt idx="5">
                  <c:v>20.5</c:v>
                </c:pt>
                <c:pt idx="6">
                  <c:v>8.5</c:v>
                </c:pt>
                <c:pt idx="7">
                  <c:v>0.9</c:v>
                </c:pt>
                <c:pt idx="8">
                  <c:v>5.0999999999999996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1.3369742575281529E-2"/>
          <c:y val="0.77195454446310552"/>
          <c:w val="0.97063315361441893"/>
          <c:h val="0.21575661075606548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 в УФНС России по Ивановской области и подведомственных налоговых инспекциях за 1 квартал 2020 года</a:t>
            </a:r>
          </a:p>
        </c:rich>
      </c:tx>
      <c:layout>
        <c:manualLayout>
          <c:xMode val="edge"/>
          <c:yMode val="edge"/>
          <c:x val="0.1342753104478541"/>
          <c:y val="2.4249546825642725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346661914174306E-2"/>
          <c:y val="0.12340344643549082"/>
          <c:w val="0.91761457286974935"/>
          <c:h val="0.3273458644967429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649676506484E-3"/>
                  <c:y val="-2.7368675015901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0998887484743418E-3"/>
                  <c:y val="-5.14372820389094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2759793914649811E-3"/>
                  <c:y val="-7.50384196404418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4627415400235469E-3"/>
                  <c:y val="-6.99727297319032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5776654461402202E-3"/>
                  <c:y val="-9.5035202772355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7989371698908007E-3"/>
                  <c:y val="-2.3221693388604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809954311266647E-3"/>
                  <c:y val="-5.22491025669145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3595476491364504E-3"/>
                  <c:y val="-3.1166626455815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4094920233736218E-3"/>
                  <c:y val="-3.4419026312518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5.867599883347915E-3"/>
                  <c:y val="-0.163125772231117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7.6320706825227093E-4"/>
                  <c:y val="-2.8770352173944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4.4803041595109256E-4"/>
                  <c:y val="-2.31314748609070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6.0004536469978288E-3"/>
                  <c:y val="-2.61741934068826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789896633291209E-3"/>
                  <c:y val="-3.22514421073410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6.985141735072805E-3"/>
                  <c:y val="-2.4606261824109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6.831599753734487E-3"/>
                  <c:y val="-4.7088368828548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Лист1!$A$2:$A$17</c:f>
              <c:strCache>
                <c:ptCount val="16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юридических лиц</c:v>
                </c:pt>
                <c:pt idx="11">
                  <c:v>Информационные ресурсы. Пользование информационными ресурсами</c:v>
                </c:pt>
                <c:pt idx="12">
                  <c:v>Контроль исполнения налогового законодательства ФЛ и ЮЛ</c:v>
                </c:pt>
                <c:pt idx="13">
                  <c:v>Учет налогоплательщиков. Получение и отказ от ИНН</c:v>
                </c:pt>
                <c:pt idx="14">
                  <c:v>Регистрация ККТ</c:v>
                </c:pt>
                <c:pt idx="15">
                  <c:v>По другим вопросам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44</c:v>
                </c:pt>
                <c:pt idx="1">
                  <c:v>221</c:v>
                </c:pt>
                <c:pt idx="2">
                  <c:v>500</c:v>
                </c:pt>
                <c:pt idx="3">
                  <c:v>454</c:v>
                </c:pt>
                <c:pt idx="4">
                  <c:v>623</c:v>
                </c:pt>
                <c:pt idx="5">
                  <c:v>18</c:v>
                </c:pt>
                <c:pt idx="6">
                  <c:v>278</c:v>
                </c:pt>
                <c:pt idx="7">
                  <c:v>56</c:v>
                </c:pt>
                <c:pt idx="8">
                  <c:v>98</c:v>
                </c:pt>
                <c:pt idx="9">
                  <c:v>1309</c:v>
                </c:pt>
                <c:pt idx="10">
                  <c:v>40</c:v>
                </c:pt>
                <c:pt idx="11">
                  <c:v>10</c:v>
                </c:pt>
                <c:pt idx="12">
                  <c:v>5</c:v>
                </c:pt>
                <c:pt idx="13">
                  <c:v>82</c:v>
                </c:pt>
                <c:pt idx="14">
                  <c:v>44</c:v>
                </c:pt>
                <c:pt idx="15">
                  <c:v>224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1902336"/>
        <c:axId val="71903872"/>
        <c:axId val="0"/>
      </c:bar3DChart>
      <c:catAx>
        <c:axId val="7190233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71903872"/>
        <c:crosses val="autoZero"/>
        <c:auto val="0"/>
        <c:lblAlgn val="ctr"/>
        <c:lblOffset val="100"/>
        <c:noMultiLvlLbl val="0"/>
      </c:catAx>
      <c:valAx>
        <c:axId val="71903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71902336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6347753467575446"/>
          <c:y val="0.81955604938799209"/>
          <c:w val="0.2113095349247352"/>
          <c:h val="9.3332621075011488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2511-6473-41FE-9633-D1E8F3A0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2</cp:revision>
  <dcterms:created xsi:type="dcterms:W3CDTF">2020-04-30T11:38:00Z</dcterms:created>
  <dcterms:modified xsi:type="dcterms:W3CDTF">2020-04-30T11:38:00Z</dcterms:modified>
</cp:coreProperties>
</file>